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FEAFC">
      <w:pPr>
        <w:autoSpaceDE w:val="0"/>
        <w:autoSpaceDN w:val="0"/>
        <w:adjustRightInd w:val="0"/>
        <w:spacing w:line="560" w:lineRule="exact"/>
        <w:jc w:val="center"/>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江苏省教育科学规划课题结题鉴定细则</w:t>
      </w:r>
    </w:p>
    <w:p w14:paraId="746BA956">
      <w:pPr>
        <w:autoSpaceDE w:val="0"/>
        <w:autoSpaceDN w:val="0"/>
        <w:adjustRightInd w:val="0"/>
        <w:spacing w:line="560" w:lineRule="exact"/>
        <w:jc w:val="center"/>
        <w:rPr>
          <w:rFonts w:hint="eastAsia" w:ascii="方正小标宋简体" w:hAnsi="方正小标宋简体" w:eastAsia="方正小标宋简体" w:cs="黑体"/>
          <w:kern w:val="0"/>
          <w:sz w:val="44"/>
          <w:szCs w:val="44"/>
          <w:lang w:val="zh-CN"/>
        </w:rPr>
      </w:pPr>
    </w:p>
    <w:p w14:paraId="4CAC6119">
      <w:pPr>
        <w:spacing w:line="560" w:lineRule="exact"/>
        <w:jc w:val="center"/>
        <w:rPr>
          <w:rFonts w:ascii="黑体" w:eastAsia="黑体" w:cs="黑体"/>
          <w:kern w:val="0"/>
          <w:sz w:val="32"/>
          <w:szCs w:val="32"/>
        </w:rPr>
      </w:pPr>
      <w:r>
        <w:rPr>
          <w:rFonts w:hint="eastAsia" w:ascii="黑体" w:eastAsia="黑体" w:cs="黑体"/>
          <w:kern w:val="0"/>
          <w:sz w:val="32"/>
          <w:szCs w:val="32"/>
        </w:rPr>
        <w:t>一、总则</w:t>
      </w:r>
    </w:p>
    <w:p w14:paraId="5F978BA0">
      <w:pPr>
        <w:autoSpaceDE w:val="0"/>
        <w:autoSpaceDN w:val="0"/>
        <w:adjustRightInd w:val="0"/>
        <w:spacing w:line="560" w:lineRule="exact"/>
        <w:ind w:firstLine="645"/>
        <w:rPr>
          <w:rFonts w:ascii="仿宋_GB2312" w:eastAsia="仿宋_GB2312" w:cs="仿宋"/>
          <w:kern w:val="0"/>
          <w:sz w:val="32"/>
          <w:szCs w:val="32"/>
        </w:rPr>
      </w:pPr>
      <w:r>
        <w:rPr>
          <w:rFonts w:hint="eastAsia" w:ascii="仿宋_GB2312" w:eastAsia="仿宋_GB2312" w:cs="仿宋"/>
          <w:kern w:val="0"/>
          <w:sz w:val="32"/>
          <w:szCs w:val="32"/>
          <w:lang w:val="zh-CN"/>
        </w:rPr>
        <w:t>（</w:t>
      </w:r>
      <w:r>
        <w:rPr>
          <w:rFonts w:hint="eastAsia" w:ascii="仿宋_GB2312" w:eastAsia="仿宋_GB2312" w:cs="仿宋"/>
          <w:kern w:val="0"/>
          <w:sz w:val="32"/>
          <w:szCs w:val="32"/>
        </w:rPr>
        <w:t>一</w:t>
      </w:r>
      <w:r>
        <w:rPr>
          <w:rFonts w:hint="eastAsia" w:ascii="仿宋_GB2312" w:eastAsia="仿宋_GB2312" w:cs="仿宋"/>
          <w:kern w:val="0"/>
          <w:sz w:val="32"/>
          <w:szCs w:val="32"/>
          <w:lang w:val="zh-CN"/>
        </w:rPr>
        <w:t>）为规范江苏省教育科学规划课题（以下简称省教育科学规划课题）管理，健全教育科学研究成果评价机制，</w:t>
      </w:r>
      <w:r>
        <w:rPr>
          <w:rFonts w:hint="eastAsia" w:ascii="仿宋_GB2312" w:eastAsia="仿宋_GB2312" w:cs="仿宋"/>
          <w:kern w:val="0"/>
          <w:sz w:val="32"/>
          <w:szCs w:val="32"/>
        </w:rPr>
        <w:t>切实做好课题结题鉴定工作，</w:t>
      </w:r>
      <w:r>
        <w:rPr>
          <w:rFonts w:hint="eastAsia" w:ascii="仿宋_GB2312" w:eastAsia="仿宋_GB2312" w:cs="仿宋"/>
          <w:kern w:val="0"/>
          <w:sz w:val="32"/>
          <w:szCs w:val="32"/>
          <w:lang w:val="zh-CN"/>
        </w:rPr>
        <w:t>提高课题研究的成果质量，根据《江苏省教育科学规划课题管理办法（</w:t>
      </w:r>
      <w:r>
        <w:rPr>
          <w:rFonts w:hint="eastAsia" w:ascii="仿宋_GB2312" w:eastAsia="仿宋_GB2312" w:cs="仿宋"/>
          <w:kern w:val="0"/>
          <w:sz w:val="32"/>
          <w:szCs w:val="32"/>
        </w:rPr>
        <w:t>修订版</w:t>
      </w:r>
      <w:r>
        <w:rPr>
          <w:rFonts w:hint="eastAsia" w:ascii="仿宋_GB2312" w:eastAsia="仿宋_GB2312" w:cs="仿宋"/>
          <w:kern w:val="0"/>
          <w:sz w:val="32"/>
          <w:szCs w:val="32"/>
          <w:lang w:val="zh-CN"/>
        </w:rPr>
        <w:t>）》的有关规定，制定本细则。</w:t>
      </w:r>
    </w:p>
    <w:p w14:paraId="7B1B9832">
      <w:pPr>
        <w:autoSpaceDE w:val="0"/>
        <w:autoSpaceDN w:val="0"/>
        <w:adjustRightInd w:val="0"/>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二）省教育科学规划课题鉴定工作要始终坚持价值取向、问题靶向和结果导向，突出课题成果的学术性、实践性与应用性特点，重在解决教育强省建设的真实问题，重在彰显支撑驱动引领学校或区域教育教学高质量发展的实际成效，重在倡导相关研究成果有效地转化为教育教学改革的行动方案、教育行政决策意见与相关政策文件等。</w:t>
      </w:r>
    </w:p>
    <w:p w14:paraId="0DDF49C8">
      <w:pPr>
        <w:autoSpaceDE w:val="0"/>
        <w:autoSpaceDN w:val="0"/>
        <w:adjustRightInd w:val="0"/>
        <w:spacing w:line="560" w:lineRule="exact"/>
        <w:ind w:firstLine="640" w:firstLineChars="200"/>
        <w:rPr>
          <w:rFonts w:ascii="仿宋_GB2312" w:eastAsia="仿宋_GB2312" w:cs="仿宋"/>
          <w:kern w:val="0"/>
          <w:sz w:val="32"/>
          <w:szCs w:val="32"/>
        </w:rPr>
      </w:pPr>
      <w:r>
        <w:rPr>
          <w:rFonts w:hint="eastAsia" w:ascii="仿宋_GB2312" w:hAnsi="仿宋" w:eastAsia="仿宋_GB2312"/>
          <w:sz w:val="32"/>
          <w:szCs w:val="32"/>
        </w:rPr>
        <w:t>（三）江苏省教育科学规划领导小组办公室（以下简称省教科规划办）立足服务全省，可对课题研究成果进行宣传和转化。</w:t>
      </w:r>
    </w:p>
    <w:p w14:paraId="081DB9B1">
      <w:pPr>
        <w:autoSpaceDE w:val="0"/>
        <w:autoSpaceDN w:val="0"/>
        <w:adjustRightInd w:val="0"/>
        <w:spacing w:line="560" w:lineRule="exact"/>
        <w:jc w:val="center"/>
        <w:rPr>
          <w:rFonts w:hint="eastAsia" w:ascii="黑体" w:hAnsi="黑体" w:eastAsia="黑体" w:cs="仿宋"/>
          <w:kern w:val="0"/>
          <w:sz w:val="32"/>
          <w:szCs w:val="32"/>
        </w:rPr>
      </w:pPr>
      <w:r>
        <w:rPr>
          <w:rFonts w:hint="eastAsia" w:ascii="黑体" w:hAnsi="黑体" w:eastAsia="黑体" w:cs="仿宋"/>
          <w:kern w:val="0"/>
          <w:sz w:val="32"/>
          <w:szCs w:val="32"/>
        </w:rPr>
        <w:t>二、成果要求</w:t>
      </w:r>
    </w:p>
    <w:p w14:paraId="55477248">
      <w:pPr>
        <w:autoSpaceDE w:val="0"/>
        <w:autoSpaceDN w:val="0"/>
        <w:adjustRightInd w:val="0"/>
        <w:spacing w:line="560" w:lineRule="exact"/>
        <w:ind w:firstLine="640"/>
        <w:rPr>
          <w:rFonts w:hint="eastAsia" w:ascii="仿宋_GB2312" w:hAnsi="楷体" w:eastAsia="仿宋_GB2312" w:cs="仿宋"/>
          <w:kern w:val="0"/>
          <w:sz w:val="32"/>
          <w:szCs w:val="32"/>
        </w:rPr>
      </w:pPr>
      <w:r>
        <w:rPr>
          <w:rFonts w:hint="eastAsia" w:ascii="仿宋_GB2312" w:hAnsi="楷体" w:eastAsia="仿宋_GB2312" w:cs="仿宋"/>
          <w:kern w:val="0"/>
          <w:sz w:val="32"/>
          <w:szCs w:val="32"/>
        </w:rPr>
        <w:t>（四）课题成果的基本条件</w:t>
      </w:r>
    </w:p>
    <w:p w14:paraId="2B7E0C16">
      <w:pPr>
        <w:autoSpaceDE w:val="0"/>
        <w:autoSpaceDN w:val="0"/>
        <w:adjustRightInd w:val="0"/>
        <w:spacing w:line="560" w:lineRule="exact"/>
        <w:ind w:firstLine="640"/>
        <w:rPr>
          <w:rFonts w:hint="eastAsia" w:ascii="仿宋_GB2312" w:hAnsi="楷体" w:eastAsia="仿宋_GB2312" w:cs="仿宋"/>
          <w:kern w:val="0"/>
          <w:sz w:val="32"/>
          <w:szCs w:val="32"/>
        </w:rPr>
      </w:pPr>
      <w:r>
        <w:rPr>
          <w:rFonts w:hint="eastAsia" w:ascii="仿宋_GB2312" w:hAnsi="楷体" w:eastAsia="仿宋_GB2312" w:cs="仿宋"/>
          <w:kern w:val="0"/>
          <w:sz w:val="32"/>
          <w:szCs w:val="32"/>
        </w:rPr>
        <w:t>1.所有课题在申请结题前均须在一定范围内组织一次成果报告会，充分展示与发布重要研究成果，强化课题研究成果的辐射与推广效能。</w:t>
      </w:r>
    </w:p>
    <w:p w14:paraId="1D3FFB7A">
      <w:pPr>
        <w:autoSpaceDE w:val="0"/>
        <w:autoSpaceDN w:val="0"/>
        <w:adjustRightInd w:val="0"/>
        <w:spacing w:line="560" w:lineRule="exact"/>
        <w:ind w:firstLine="640" w:firstLineChars="200"/>
        <w:jc w:val="left"/>
        <w:rPr>
          <w:rFonts w:ascii="仿宋_GB2312" w:eastAsia="仿宋_GB2312" w:cs="仿宋"/>
          <w:kern w:val="0"/>
          <w:sz w:val="32"/>
          <w:szCs w:val="32"/>
          <w:lang w:val="zh-CN"/>
        </w:rPr>
      </w:pPr>
      <w:r>
        <w:rPr>
          <w:rFonts w:hint="eastAsia" w:ascii="仿宋_GB2312" w:hAnsi="仿宋" w:eastAsia="仿宋_GB2312"/>
          <w:sz w:val="32"/>
          <w:szCs w:val="32"/>
        </w:rPr>
        <w:t>2.学术专著与论文的名称及内容须与课题名称及研究内容高度相关，</w:t>
      </w:r>
      <w:r>
        <w:rPr>
          <w:rFonts w:hint="eastAsia" w:ascii="仿宋_GB2312" w:eastAsia="仿宋_GB2312" w:cs="仿宋"/>
          <w:kern w:val="0"/>
          <w:sz w:val="32"/>
          <w:szCs w:val="32"/>
          <w:lang w:val="zh-CN"/>
        </w:rPr>
        <w:t>学位论文不得作为课题研究成果提交鉴定。</w:t>
      </w:r>
    </w:p>
    <w:p w14:paraId="33D73398">
      <w:pPr>
        <w:pStyle w:val="2"/>
        <w:autoSpaceDE w:val="0"/>
        <w:autoSpaceDN w:val="0"/>
        <w:adjustRightInd w:val="0"/>
        <w:spacing w:before="0" w:beforeAutospacing="0" w:after="0" w:afterAutospacing="0" w:line="560" w:lineRule="exact"/>
        <w:ind w:firstLine="640" w:firstLineChars="200"/>
        <w:jc w:val="both"/>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3.专著出版或论文发表须独家注明江苏省教育科学规划“课题类别+课题名称+课题批准号”，没有注明的成果不得列入课题研究成果。</w:t>
      </w:r>
    </w:p>
    <w:p w14:paraId="0D3497AD">
      <w:pPr>
        <w:autoSpaceDE w:val="0"/>
        <w:autoSpaceDN w:val="0"/>
        <w:adjustRightInd w:val="0"/>
        <w:spacing w:line="560" w:lineRule="exact"/>
        <w:ind w:firstLine="640"/>
        <w:rPr>
          <w:rFonts w:ascii="仿宋_GB2312" w:eastAsia="仿宋_GB2312" w:cs="仿宋"/>
          <w:kern w:val="0"/>
          <w:sz w:val="32"/>
          <w:szCs w:val="32"/>
        </w:rPr>
      </w:pPr>
      <w:r>
        <w:rPr>
          <w:rFonts w:hint="eastAsia" w:ascii="仿宋_GB2312" w:hAnsi="楷体" w:eastAsia="仿宋_GB2312" w:cs="仿宋"/>
          <w:kern w:val="0"/>
          <w:sz w:val="32"/>
          <w:szCs w:val="32"/>
        </w:rPr>
        <w:t>（五）</w:t>
      </w:r>
      <w:r>
        <w:rPr>
          <w:rFonts w:hint="eastAsia" w:ascii="仿宋_GB2312" w:eastAsia="仿宋_GB2312" w:cs="仿宋"/>
          <w:kern w:val="0"/>
          <w:sz w:val="32"/>
          <w:szCs w:val="32"/>
          <w:lang w:val="zh-CN"/>
        </w:rPr>
        <w:t>重点课题</w:t>
      </w:r>
      <w:r>
        <w:rPr>
          <w:rFonts w:hint="eastAsia" w:ascii="仿宋_GB2312" w:eastAsia="仿宋_GB2312" w:cs="仿宋"/>
          <w:kern w:val="0"/>
          <w:sz w:val="32"/>
          <w:szCs w:val="32"/>
        </w:rPr>
        <w:t>成果具体要求</w:t>
      </w:r>
    </w:p>
    <w:p w14:paraId="0AC5640E">
      <w:pPr>
        <w:autoSpaceDE w:val="0"/>
        <w:autoSpaceDN w:val="0"/>
        <w:adjustRightIn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有经费资助的重点课题</w:t>
      </w:r>
      <w:r>
        <w:rPr>
          <w:rFonts w:hint="eastAsia" w:ascii="仿宋_GB2312" w:eastAsia="仿宋_GB2312" w:cs="仿宋"/>
          <w:kern w:val="0"/>
          <w:sz w:val="32"/>
          <w:szCs w:val="32"/>
        </w:rPr>
        <w:t>须</w:t>
      </w:r>
      <w:r>
        <w:rPr>
          <w:rFonts w:hint="eastAsia" w:ascii="仿宋_GB2312" w:hAnsi="仿宋" w:eastAsia="仿宋_GB2312"/>
          <w:sz w:val="32"/>
          <w:szCs w:val="32"/>
        </w:rPr>
        <w:t>出版学术专著1部，或在正式刊物上公开发表论文4篇（其中，高等院校系列主持人须在全国中文核心及以上期刊发表2篇及以上；其他系列主持人须在全国中文核心及以上期刊发表论文1篇及以上，其中由主持人独著或为第一作者的论文至少1篇），或获国家级领导肯定性批示1项，或获省部级领导肯定性批示2项。另须提供决策咨询报告1篇及以上。</w:t>
      </w:r>
    </w:p>
    <w:p w14:paraId="19941774">
      <w:pPr>
        <w:autoSpaceDE w:val="0"/>
        <w:autoSpaceDN w:val="0"/>
        <w:adjustRightInd w:val="0"/>
        <w:spacing w:line="560" w:lineRule="exact"/>
        <w:ind w:firstLine="640"/>
        <w:rPr>
          <w:rFonts w:hint="eastAsia" w:ascii="仿宋_GB2312" w:hAnsi="仿宋" w:eastAsia="仿宋_GB2312"/>
          <w:sz w:val="32"/>
          <w:szCs w:val="32"/>
        </w:rPr>
      </w:pPr>
      <w:r>
        <w:rPr>
          <w:rFonts w:hint="eastAsia" w:ascii="仿宋_GB2312" w:eastAsia="仿宋_GB2312" w:cs="仿宋"/>
          <w:kern w:val="0"/>
          <w:sz w:val="32"/>
          <w:szCs w:val="32"/>
        </w:rPr>
        <w:t>无经费资助的重点课题，高等院校系列须</w:t>
      </w:r>
      <w:r>
        <w:rPr>
          <w:rFonts w:hint="eastAsia" w:ascii="仿宋_GB2312" w:hAnsi="仿宋" w:eastAsia="仿宋_GB2312"/>
          <w:sz w:val="32"/>
          <w:szCs w:val="32"/>
        </w:rPr>
        <w:t>出版学术专著1部，或在正式刊物上公开发表论文2篇（其中须在全国中文核心及以上期刊发表1篇及以上，由主持人独著或为第一作者的论文至少1篇），其他系列须出版学术专著1部，或在正式刊物上公开发表论文2篇（由主持人独著或为第一作者的论文至少1篇），或获省部级领导肯定性批示1项，或获市厅级领导肯定性批示2项。</w:t>
      </w:r>
    </w:p>
    <w:p w14:paraId="460981D6">
      <w:pPr>
        <w:autoSpaceDE w:val="0"/>
        <w:autoSpaceDN w:val="0"/>
        <w:adjustRightInd w:val="0"/>
        <w:spacing w:line="560" w:lineRule="exact"/>
        <w:ind w:firstLine="580"/>
        <w:rPr>
          <w:rFonts w:hint="eastAsia" w:ascii="仿宋_GB2312" w:hAnsi="仿宋" w:eastAsia="仿宋_GB2312"/>
          <w:sz w:val="32"/>
          <w:szCs w:val="32"/>
        </w:rPr>
      </w:pPr>
      <w:r>
        <w:rPr>
          <w:rFonts w:hint="eastAsia" w:ascii="仿宋_GB2312" w:hAnsi="仿宋" w:eastAsia="仿宋_GB2312"/>
          <w:sz w:val="32"/>
          <w:szCs w:val="32"/>
        </w:rPr>
        <w:t>（六）专项课题成果具体要求</w:t>
      </w:r>
    </w:p>
    <w:p w14:paraId="11AE40FC">
      <w:pPr>
        <w:autoSpaceDE w:val="0"/>
        <w:autoSpaceDN w:val="0"/>
        <w:adjustRightInd w:val="0"/>
        <w:spacing w:line="560" w:lineRule="exact"/>
        <w:ind w:firstLine="580"/>
        <w:rPr>
          <w:rFonts w:hint="eastAsia" w:ascii="黑体" w:hAnsi="黑体" w:eastAsia="黑体" w:cs="仿宋"/>
          <w:kern w:val="0"/>
          <w:sz w:val="32"/>
          <w:szCs w:val="32"/>
        </w:rPr>
      </w:pPr>
      <w:r>
        <w:rPr>
          <w:rFonts w:hint="eastAsia" w:ascii="仿宋_GB2312" w:hAnsi="仿宋" w:eastAsia="仿宋_GB2312"/>
          <w:sz w:val="32"/>
          <w:szCs w:val="32"/>
        </w:rPr>
        <w:t>专项课题须出版学术专著1部，或在正式刊物上公开发表论文2篇（其中由主持人独著或为第一作者的论文至少1篇）。委托专项课题还须完成委托单位对成果的相关要求。</w:t>
      </w:r>
    </w:p>
    <w:p w14:paraId="1ECC9107">
      <w:pPr>
        <w:autoSpaceDE w:val="0"/>
        <w:autoSpaceDN w:val="0"/>
        <w:adjustRightInd w:val="0"/>
        <w:spacing w:line="560" w:lineRule="exact"/>
        <w:ind w:firstLine="580"/>
        <w:rPr>
          <w:rFonts w:hint="eastAsia" w:ascii="仿宋_GB2312" w:hAnsi="仿宋" w:eastAsia="仿宋_GB2312"/>
          <w:sz w:val="32"/>
          <w:szCs w:val="32"/>
          <w:lang w:val="zh-CN"/>
        </w:rPr>
      </w:pPr>
      <w:r>
        <w:rPr>
          <w:rFonts w:hint="eastAsia" w:ascii="仿宋_GB2312" w:hAnsi="仿宋" w:eastAsia="仿宋_GB2312"/>
          <w:sz w:val="32"/>
          <w:szCs w:val="32"/>
        </w:rPr>
        <w:t>（七）免于鉴定的条件</w:t>
      </w:r>
    </w:p>
    <w:p w14:paraId="3C1C4D8A">
      <w:pPr>
        <w:autoSpaceDE w:val="0"/>
        <w:autoSpaceDN w:val="0"/>
        <w:adjustRightInd w:val="0"/>
        <w:spacing w:line="560" w:lineRule="exact"/>
        <w:ind w:firstLine="640" w:firstLineChars="200"/>
        <w:rPr>
          <w:rFonts w:hint="eastAsia" w:ascii="仿宋_GB2312" w:hAnsi="仿宋" w:eastAsia="仿宋_GB2312"/>
          <w:sz w:val="32"/>
          <w:szCs w:val="32"/>
        </w:rPr>
      </w:pPr>
      <w:r>
        <w:rPr>
          <w:rFonts w:hint="eastAsia" w:ascii="仿宋_GB2312" w:eastAsia="仿宋_GB2312" w:cs="仿宋"/>
          <w:kern w:val="0"/>
          <w:sz w:val="32"/>
          <w:szCs w:val="32"/>
        </w:rPr>
        <w:t>1.</w:t>
      </w:r>
      <w:r>
        <w:rPr>
          <w:rFonts w:hint="eastAsia" w:ascii="仿宋_GB2312" w:eastAsia="仿宋_GB2312" w:cs="仿宋"/>
          <w:kern w:val="0"/>
          <w:sz w:val="32"/>
          <w:szCs w:val="32"/>
          <w:lang w:val="zh-CN"/>
        </w:rPr>
        <w:t>省教育科学规划课题</w:t>
      </w:r>
      <w:r>
        <w:rPr>
          <w:rFonts w:hint="eastAsia" w:ascii="仿宋_GB2312" w:hAnsi="仿宋" w:eastAsia="仿宋_GB2312"/>
          <w:sz w:val="32"/>
          <w:szCs w:val="32"/>
        </w:rPr>
        <w:t>同时是全国教育科学规划项目，或</w:t>
      </w:r>
      <w:r>
        <w:rPr>
          <w:rFonts w:hint="eastAsia" w:ascii="仿宋_GB2312" w:hAnsi="Times New Roman" w:eastAsia="仿宋_GB2312" w:cs="仿宋"/>
          <w:kern w:val="0"/>
          <w:sz w:val="32"/>
          <w:szCs w:val="32"/>
          <w:lang w:val="zh-CN"/>
        </w:rPr>
        <w:t>江苏省社科基金项目</w:t>
      </w:r>
      <w:r>
        <w:rPr>
          <w:rFonts w:hint="eastAsia" w:ascii="仿宋_GB2312" w:hAnsi="仿宋" w:eastAsia="仿宋_GB2312"/>
          <w:sz w:val="32"/>
          <w:szCs w:val="32"/>
        </w:rPr>
        <w:t>，并已通过上述项目管理部门组织成果鉴定的，可免于鉴定。</w:t>
      </w:r>
    </w:p>
    <w:p w14:paraId="5E636747">
      <w:pPr>
        <w:autoSpaceDE w:val="0"/>
        <w:autoSpaceDN w:val="0"/>
        <w:adjustRightInd w:val="0"/>
        <w:spacing w:line="560" w:lineRule="exact"/>
        <w:ind w:firstLine="640" w:firstLineChars="200"/>
        <w:rPr>
          <w:rFonts w:hint="eastAsia" w:ascii="仿宋_GB2312" w:hAnsi="仿宋" w:eastAsia="仿宋_GB2312"/>
          <w:sz w:val="32"/>
          <w:szCs w:val="32"/>
          <w:lang w:val="zh-CN"/>
        </w:rPr>
      </w:pPr>
      <w:r>
        <w:rPr>
          <w:rFonts w:hint="eastAsia" w:ascii="仿宋_GB2312" w:hAnsi="仿宋" w:eastAsia="仿宋_GB2312"/>
          <w:sz w:val="32"/>
          <w:szCs w:val="32"/>
        </w:rPr>
        <w:t>2.课题核心成果在研究周期内获全国（省）教育科学研究优秀成果奖、国家（省）教学成果奖、国家（省）哲社优秀成果奖等，且</w:t>
      </w:r>
      <w:r>
        <w:rPr>
          <w:rFonts w:hint="eastAsia" w:ascii="仿宋_GB2312" w:eastAsia="仿宋_GB2312" w:cs="仿宋"/>
          <w:kern w:val="0"/>
          <w:sz w:val="32"/>
          <w:szCs w:val="32"/>
          <w:lang w:val="zh-CN"/>
        </w:rPr>
        <w:t>课题名称与奖项名称</w:t>
      </w:r>
      <w:r>
        <w:rPr>
          <w:rFonts w:hint="eastAsia" w:ascii="仿宋_GB2312" w:eastAsia="仿宋_GB2312" w:cs="仿宋"/>
          <w:kern w:val="0"/>
          <w:sz w:val="32"/>
          <w:szCs w:val="32"/>
        </w:rPr>
        <w:t>相一致</w:t>
      </w:r>
      <w:r>
        <w:rPr>
          <w:rFonts w:hint="eastAsia" w:ascii="仿宋_GB2312" w:eastAsia="仿宋_GB2312" w:cs="仿宋"/>
          <w:kern w:val="0"/>
          <w:sz w:val="32"/>
          <w:szCs w:val="32"/>
          <w:lang w:val="zh-CN"/>
        </w:rPr>
        <w:t>，课题主持人</w:t>
      </w:r>
      <w:r>
        <w:rPr>
          <w:rFonts w:hint="eastAsia" w:ascii="仿宋_GB2312" w:hAnsi="仿宋" w:eastAsia="仿宋_GB2312"/>
          <w:sz w:val="32"/>
          <w:szCs w:val="32"/>
        </w:rPr>
        <w:t>在所获奖项成果持有人中排名前三的，可免于鉴定</w:t>
      </w:r>
      <w:r>
        <w:rPr>
          <w:rFonts w:hint="eastAsia" w:ascii="仿宋_GB2312" w:hAnsi="仿宋" w:eastAsia="仿宋_GB2312"/>
          <w:sz w:val="32"/>
          <w:szCs w:val="32"/>
          <w:lang w:val="zh-CN"/>
        </w:rPr>
        <w:t>。</w:t>
      </w:r>
    </w:p>
    <w:p w14:paraId="381A1A88">
      <w:pPr>
        <w:autoSpaceDE w:val="0"/>
        <w:autoSpaceDN w:val="0"/>
        <w:adjustRightInd w:val="0"/>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3.重点课题的主要成果被省部级及以上党政机关完整采纳吸收，并附有基本材料和相关证明的；专项课题的主要成果被设区市及以上教育行政部门完整采纳吸收，并附有基本材料和相关证明的，可免于鉴定。</w:t>
      </w:r>
    </w:p>
    <w:p w14:paraId="1CBD57E4">
      <w:pPr>
        <w:autoSpaceDE w:val="0"/>
        <w:autoSpaceDN w:val="0"/>
        <w:adjustRightInd w:val="0"/>
        <w:spacing w:line="560" w:lineRule="exact"/>
        <w:jc w:val="center"/>
        <w:rPr>
          <w:rFonts w:hint="eastAsia" w:ascii="黑体" w:hAnsi="黑体" w:eastAsia="黑体" w:cs="仿宋"/>
          <w:b/>
          <w:kern w:val="0"/>
          <w:sz w:val="32"/>
          <w:szCs w:val="32"/>
        </w:rPr>
      </w:pPr>
      <w:r>
        <w:rPr>
          <w:rFonts w:hint="eastAsia" w:ascii="黑体" w:hAnsi="黑体" w:eastAsia="黑体" w:cs="仿宋"/>
          <w:kern w:val="0"/>
          <w:sz w:val="32"/>
          <w:szCs w:val="32"/>
        </w:rPr>
        <w:t>三、</w:t>
      </w:r>
      <w:r>
        <w:rPr>
          <w:rFonts w:hint="eastAsia" w:ascii="黑体" w:hAnsi="黑体" w:eastAsia="黑体" w:cs="仿宋"/>
          <w:kern w:val="0"/>
          <w:sz w:val="32"/>
          <w:szCs w:val="32"/>
          <w:lang w:val="zh-CN"/>
        </w:rPr>
        <w:t>鉴定</w:t>
      </w:r>
      <w:r>
        <w:rPr>
          <w:rFonts w:hint="eastAsia" w:ascii="黑体" w:hAnsi="黑体" w:eastAsia="黑体" w:cs="仿宋"/>
          <w:kern w:val="0"/>
          <w:sz w:val="32"/>
          <w:szCs w:val="32"/>
        </w:rPr>
        <w:t>标准</w:t>
      </w:r>
    </w:p>
    <w:p w14:paraId="1D42A0C0">
      <w:pPr>
        <w:autoSpaceDE w:val="0"/>
        <w:autoSpaceDN w:val="0"/>
        <w:adjustRightInd w:val="0"/>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lang w:val="zh-CN"/>
        </w:rPr>
        <w:t>（</w:t>
      </w:r>
      <w:r>
        <w:rPr>
          <w:rFonts w:hint="eastAsia" w:ascii="仿宋_GB2312" w:eastAsia="仿宋_GB2312" w:cs="仿宋"/>
          <w:kern w:val="0"/>
          <w:sz w:val="32"/>
          <w:szCs w:val="32"/>
        </w:rPr>
        <w:t>八</w:t>
      </w:r>
      <w:r>
        <w:rPr>
          <w:rFonts w:hint="eastAsia" w:ascii="仿宋_GB2312" w:eastAsia="仿宋_GB2312" w:cs="仿宋"/>
          <w:kern w:val="0"/>
          <w:sz w:val="32"/>
          <w:szCs w:val="32"/>
          <w:lang w:val="zh-CN"/>
        </w:rPr>
        <w:t>）成果鉴定主要从科学性、规范性、创新性与应用</w:t>
      </w:r>
      <w:r>
        <w:rPr>
          <w:rFonts w:hint="eastAsia" w:ascii="仿宋_GB2312" w:eastAsia="仿宋_GB2312" w:cs="仿宋"/>
          <w:kern w:val="0"/>
          <w:sz w:val="32"/>
          <w:szCs w:val="32"/>
        </w:rPr>
        <w:t>性</w:t>
      </w:r>
      <w:r>
        <w:rPr>
          <w:rFonts w:hint="eastAsia" w:ascii="仿宋_GB2312" w:eastAsia="仿宋_GB2312" w:cs="仿宋"/>
          <w:kern w:val="0"/>
          <w:sz w:val="32"/>
          <w:szCs w:val="32"/>
          <w:lang w:val="zh-CN"/>
        </w:rPr>
        <w:t>等</w:t>
      </w:r>
      <w:r>
        <w:rPr>
          <w:rFonts w:hint="eastAsia" w:ascii="仿宋_GB2312" w:eastAsia="仿宋_GB2312" w:cs="仿宋"/>
          <w:kern w:val="0"/>
          <w:sz w:val="32"/>
          <w:szCs w:val="32"/>
        </w:rPr>
        <w:t>四</w:t>
      </w:r>
      <w:r>
        <w:rPr>
          <w:rFonts w:hint="eastAsia" w:ascii="仿宋_GB2312" w:eastAsia="仿宋_GB2312" w:cs="仿宋"/>
          <w:kern w:val="0"/>
          <w:sz w:val="32"/>
          <w:szCs w:val="32"/>
          <w:lang w:val="zh-CN"/>
        </w:rPr>
        <w:t>个方面进行</w:t>
      </w:r>
      <w:r>
        <w:rPr>
          <w:rFonts w:hint="eastAsia" w:ascii="仿宋_GB2312" w:eastAsia="仿宋_GB2312" w:cs="仿宋"/>
          <w:kern w:val="0"/>
          <w:sz w:val="32"/>
          <w:szCs w:val="32"/>
        </w:rPr>
        <w:t>等级分类</w:t>
      </w:r>
      <w:r>
        <w:rPr>
          <w:rFonts w:hint="eastAsia" w:ascii="仿宋_GB2312" w:eastAsia="仿宋_GB2312" w:cs="仿宋"/>
          <w:kern w:val="0"/>
          <w:sz w:val="32"/>
          <w:szCs w:val="32"/>
          <w:lang w:val="zh-CN"/>
        </w:rPr>
        <w:t>。鉴定等级分为优秀、</w:t>
      </w:r>
      <w:r>
        <w:rPr>
          <w:rFonts w:hint="eastAsia" w:ascii="仿宋_GB2312" w:eastAsia="仿宋_GB2312" w:cs="仿宋"/>
          <w:kern w:val="0"/>
          <w:sz w:val="32"/>
          <w:szCs w:val="32"/>
        </w:rPr>
        <w:t>良好、</w:t>
      </w:r>
      <w:r>
        <w:rPr>
          <w:rFonts w:hint="eastAsia" w:ascii="仿宋_GB2312" w:eastAsia="仿宋_GB2312" w:cs="仿宋"/>
          <w:kern w:val="0"/>
          <w:sz w:val="32"/>
          <w:szCs w:val="32"/>
          <w:lang w:val="zh-CN"/>
        </w:rPr>
        <w:t>合格和不合格四个等级，</w:t>
      </w:r>
      <w:r>
        <w:rPr>
          <w:rFonts w:hint="eastAsia" w:ascii="仿宋_GB2312" w:eastAsia="仿宋_GB2312" w:cs="仿宋"/>
          <w:kern w:val="0"/>
          <w:sz w:val="32"/>
          <w:szCs w:val="32"/>
        </w:rPr>
        <w:t>其中“优秀”等级比例占每次鉴定总数的10%左右，其他等级不受比例限制。</w:t>
      </w:r>
    </w:p>
    <w:p w14:paraId="67872076">
      <w:pPr>
        <w:autoSpaceDE w:val="0"/>
        <w:autoSpaceDN w:val="0"/>
        <w:adjustRightInd w:val="0"/>
        <w:spacing w:line="560" w:lineRule="exact"/>
        <w:jc w:val="center"/>
        <w:rPr>
          <w:rFonts w:hint="eastAsia" w:ascii="黑体" w:hAnsi="黑体" w:eastAsia="黑体" w:cs="仿宋"/>
          <w:kern w:val="0"/>
          <w:sz w:val="32"/>
          <w:szCs w:val="32"/>
        </w:rPr>
      </w:pPr>
      <w:r>
        <w:rPr>
          <w:rFonts w:hint="eastAsia" w:ascii="黑体" w:hAnsi="黑体" w:eastAsia="黑体" w:cs="仿宋"/>
          <w:kern w:val="0"/>
          <w:sz w:val="32"/>
          <w:szCs w:val="32"/>
        </w:rPr>
        <w:t>四、鉴定专家</w:t>
      </w:r>
    </w:p>
    <w:p w14:paraId="63A36211">
      <w:pPr>
        <w:spacing w:line="560" w:lineRule="exact"/>
        <w:ind w:firstLine="640" w:firstLineChars="200"/>
        <w:rPr>
          <w:rFonts w:ascii="仿宋_GB2312" w:eastAsia="仿宋_GB2312" w:cs="仿宋"/>
          <w:kern w:val="0"/>
          <w:sz w:val="32"/>
          <w:szCs w:val="32"/>
          <w:lang w:val="zh-CN"/>
        </w:rPr>
      </w:pPr>
      <w:r>
        <w:rPr>
          <w:rFonts w:hint="eastAsia" w:ascii="仿宋_GB2312" w:eastAsia="仿宋_GB2312" w:cs="仿宋"/>
          <w:kern w:val="0"/>
          <w:sz w:val="32"/>
          <w:szCs w:val="32"/>
        </w:rPr>
        <w:t>（九）鉴定专家从省教育科学规划</w:t>
      </w:r>
      <w:r>
        <w:rPr>
          <w:rFonts w:hint="eastAsia" w:ascii="仿宋_GB2312" w:eastAsia="仿宋_GB2312" w:cs="仿宋"/>
          <w:kern w:val="0"/>
          <w:sz w:val="32"/>
          <w:szCs w:val="32"/>
          <w:lang w:val="zh-CN"/>
        </w:rPr>
        <w:t>课题专家库中</w:t>
      </w:r>
      <w:r>
        <w:rPr>
          <w:rFonts w:hint="eastAsia" w:ascii="仿宋_GB2312" w:eastAsia="仿宋_GB2312" w:cs="仿宋"/>
          <w:kern w:val="0"/>
          <w:sz w:val="32"/>
          <w:szCs w:val="32"/>
        </w:rPr>
        <w:t>随机抽取</w:t>
      </w:r>
      <w:r>
        <w:rPr>
          <w:rFonts w:hint="eastAsia" w:ascii="仿宋_GB2312" w:eastAsia="仿宋_GB2312" w:cs="仿宋"/>
          <w:kern w:val="0"/>
          <w:sz w:val="32"/>
          <w:szCs w:val="32"/>
          <w:lang w:val="zh-CN"/>
        </w:rPr>
        <w:t>。鉴定专家</w:t>
      </w:r>
      <w:r>
        <w:rPr>
          <w:rFonts w:hint="eastAsia" w:ascii="仿宋_GB2312" w:eastAsia="仿宋_GB2312" w:cs="仿宋"/>
          <w:kern w:val="0"/>
          <w:sz w:val="32"/>
          <w:szCs w:val="32"/>
        </w:rPr>
        <w:t>原则上</w:t>
      </w:r>
      <w:r>
        <w:rPr>
          <w:rFonts w:hint="eastAsia" w:ascii="仿宋_GB2312" w:eastAsia="仿宋_GB2312" w:cs="仿宋"/>
          <w:kern w:val="0"/>
          <w:sz w:val="32"/>
          <w:szCs w:val="32"/>
          <w:lang w:val="zh-CN"/>
        </w:rPr>
        <w:t>须具有</w:t>
      </w:r>
      <w:r>
        <w:rPr>
          <w:rFonts w:hint="eastAsia" w:ascii="仿宋_GB2312" w:eastAsia="仿宋_GB2312" w:cs="仿宋"/>
          <w:kern w:val="0"/>
          <w:sz w:val="32"/>
          <w:szCs w:val="32"/>
        </w:rPr>
        <w:t>正</w:t>
      </w:r>
      <w:r>
        <w:rPr>
          <w:rFonts w:hint="eastAsia" w:ascii="仿宋_GB2312" w:eastAsia="仿宋_GB2312" w:cs="仿宋"/>
          <w:kern w:val="0"/>
          <w:sz w:val="32"/>
          <w:szCs w:val="32"/>
          <w:lang w:val="zh-CN"/>
        </w:rPr>
        <w:t>高</w:t>
      </w:r>
      <w:r>
        <w:rPr>
          <w:rFonts w:hint="eastAsia" w:ascii="仿宋_GB2312" w:eastAsia="仿宋_GB2312" w:cs="仿宋"/>
          <w:kern w:val="0"/>
          <w:sz w:val="32"/>
          <w:szCs w:val="32"/>
        </w:rPr>
        <w:t>级</w:t>
      </w:r>
      <w:r>
        <w:rPr>
          <w:rFonts w:hint="eastAsia" w:ascii="仿宋_GB2312" w:eastAsia="仿宋_GB2312" w:cs="仿宋"/>
          <w:kern w:val="0"/>
          <w:sz w:val="32"/>
          <w:szCs w:val="32"/>
          <w:lang w:val="zh-CN"/>
        </w:rPr>
        <w:t>专业技术职称，学风端正、学术造诣深厚、</w:t>
      </w:r>
      <w:r>
        <w:rPr>
          <w:rFonts w:hint="eastAsia" w:ascii="仿宋_GB2312" w:eastAsia="仿宋_GB2312" w:cs="仿宋"/>
          <w:kern w:val="0"/>
          <w:sz w:val="32"/>
          <w:szCs w:val="32"/>
        </w:rPr>
        <w:t>创新精神与实践能力强。</w:t>
      </w:r>
    </w:p>
    <w:p w14:paraId="02D6B3BD">
      <w:pPr>
        <w:autoSpaceDE w:val="0"/>
        <w:autoSpaceDN w:val="0"/>
        <w:adjustRightInd w:val="0"/>
        <w:spacing w:line="560" w:lineRule="exact"/>
        <w:ind w:firstLine="645"/>
        <w:rPr>
          <w:rFonts w:ascii="仿宋_GB2312" w:eastAsia="仿宋_GB2312" w:cs="仿宋"/>
          <w:kern w:val="0"/>
          <w:sz w:val="32"/>
          <w:szCs w:val="32"/>
          <w:lang w:val="zh-CN"/>
        </w:rPr>
      </w:pPr>
      <w:r>
        <w:rPr>
          <w:rFonts w:hint="eastAsia" w:ascii="仿宋_GB2312" w:eastAsia="仿宋_GB2312" w:cs="仿宋"/>
          <w:kern w:val="0"/>
          <w:sz w:val="32"/>
          <w:szCs w:val="32"/>
        </w:rPr>
        <w:t>（十）鉴定</w:t>
      </w:r>
      <w:r>
        <w:rPr>
          <w:rFonts w:hint="eastAsia" w:ascii="仿宋_GB2312" w:eastAsia="仿宋_GB2312" w:cs="仿宋"/>
          <w:kern w:val="0"/>
          <w:sz w:val="32"/>
          <w:szCs w:val="32"/>
          <w:lang w:val="zh-CN"/>
        </w:rPr>
        <w:t>专家须</w:t>
      </w:r>
      <w:r>
        <w:rPr>
          <w:rFonts w:hint="eastAsia" w:ascii="仿宋_GB2312" w:eastAsia="仿宋_GB2312" w:cs="仿宋"/>
          <w:kern w:val="0"/>
          <w:sz w:val="32"/>
          <w:szCs w:val="32"/>
        </w:rPr>
        <w:t>秉持</w:t>
      </w:r>
      <w:r>
        <w:rPr>
          <w:rFonts w:hint="eastAsia" w:ascii="仿宋_GB2312" w:eastAsia="仿宋_GB2312" w:cs="仿宋"/>
          <w:kern w:val="0"/>
          <w:sz w:val="32"/>
          <w:szCs w:val="32"/>
          <w:lang w:val="zh-CN"/>
        </w:rPr>
        <w:t>公正、公平、客观的原则</w:t>
      </w:r>
      <w:r>
        <w:rPr>
          <w:rFonts w:hint="eastAsia" w:ascii="仿宋_GB2312" w:eastAsia="仿宋_GB2312" w:cs="仿宋"/>
          <w:kern w:val="0"/>
          <w:sz w:val="32"/>
          <w:szCs w:val="32"/>
        </w:rPr>
        <w:t>审阅与评估结题鉴定材料，并对课题成果提出鉴定意见</w:t>
      </w:r>
      <w:r>
        <w:rPr>
          <w:rFonts w:hint="eastAsia" w:ascii="仿宋_GB2312" w:eastAsia="仿宋_GB2312" w:cs="仿宋"/>
          <w:kern w:val="0"/>
          <w:sz w:val="32"/>
          <w:szCs w:val="32"/>
          <w:lang w:val="zh-CN"/>
        </w:rPr>
        <w:t>。</w:t>
      </w:r>
      <w:r>
        <w:rPr>
          <w:rFonts w:hint="eastAsia" w:ascii="仿宋_GB2312" w:eastAsia="仿宋_GB2312" w:cs="仿宋"/>
          <w:kern w:val="0"/>
          <w:sz w:val="32"/>
          <w:szCs w:val="32"/>
        </w:rPr>
        <w:t>鉴定</w:t>
      </w:r>
      <w:r>
        <w:rPr>
          <w:rFonts w:hint="eastAsia" w:ascii="仿宋_GB2312" w:eastAsia="仿宋_GB2312" w:cs="仿宋"/>
          <w:kern w:val="0"/>
          <w:sz w:val="32"/>
          <w:szCs w:val="32"/>
          <w:lang w:val="zh-CN"/>
        </w:rPr>
        <w:t>专家实行回避制度，主持或参与相关课题</w:t>
      </w:r>
      <w:r>
        <w:rPr>
          <w:rFonts w:hint="eastAsia" w:ascii="仿宋_GB2312" w:eastAsia="仿宋_GB2312" w:cs="仿宋"/>
          <w:kern w:val="0"/>
          <w:sz w:val="32"/>
          <w:szCs w:val="32"/>
        </w:rPr>
        <w:t>研究</w:t>
      </w:r>
      <w:r>
        <w:rPr>
          <w:rFonts w:hint="eastAsia" w:ascii="仿宋_GB2312" w:eastAsia="仿宋_GB2312" w:cs="仿宋"/>
          <w:kern w:val="0"/>
          <w:sz w:val="32"/>
          <w:szCs w:val="32"/>
          <w:lang w:val="zh-CN"/>
        </w:rPr>
        <w:t>的专家须回避。</w:t>
      </w:r>
    </w:p>
    <w:p w14:paraId="26BB3EE8">
      <w:pPr>
        <w:autoSpaceDE w:val="0"/>
        <w:autoSpaceDN w:val="0"/>
        <w:adjustRightInd w:val="0"/>
        <w:spacing w:line="560" w:lineRule="exact"/>
        <w:jc w:val="center"/>
        <w:rPr>
          <w:rFonts w:hint="eastAsia" w:ascii="黑体" w:hAnsi="黑体" w:eastAsia="黑体" w:cs="仿宋"/>
          <w:kern w:val="0"/>
          <w:sz w:val="32"/>
          <w:szCs w:val="32"/>
        </w:rPr>
      </w:pPr>
      <w:r>
        <w:rPr>
          <w:rFonts w:hint="eastAsia" w:ascii="黑体" w:hAnsi="黑体" w:eastAsia="黑体" w:cs="仿宋"/>
          <w:kern w:val="0"/>
          <w:sz w:val="32"/>
          <w:szCs w:val="32"/>
        </w:rPr>
        <w:t>五、鉴定程序</w:t>
      </w:r>
    </w:p>
    <w:p w14:paraId="19E4B881">
      <w:pPr>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（十一）申请鉴定</w:t>
      </w:r>
    </w:p>
    <w:p w14:paraId="5283F84B">
      <w:pPr>
        <w:autoSpaceDE w:val="0"/>
        <w:autoSpaceDN w:val="0"/>
        <w:adjustRightInd w:val="0"/>
        <w:spacing w:line="560" w:lineRule="exact"/>
        <w:ind w:firstLine="640" w:firstLineChars="200"/>
        <w:rPr>
          <w:rFonts w:ascii="仿宋_GB2312" w:eastAsia="仿宋_GB2312" w:cs="仿宋"/>
          <w:kern w:val="0"/>
          <w:sz w:val="32"/>
          <w:szCs w:val="32"/>
          <w:lang w:val="zh-CN"/>
        </w:rPr>
      </w:pPr>
      <w:r>
        <w:rPr>
          <w:rFonts w:hint="eastAsia" w:ascii="仿宋_GB2312" w:eastAsia="仿宋_GB2312" w:cs="仿宋"/>
          <w:kern w:val="0"/>
          <w:sz w:val="32"/>
          <w:szCs w:val="32"/>
        </w:rPr>
        <w:t>省教科规划办每年组织两次课题集中结题鉴定活动</w:t>
      </w:r>
      <w:r>
        <w:rPr>
          <w:rFonts w:hint="eastAsia" w:ascii="仿宋_GB2312" w:eastAsia="仿宋_GB2312" w:cs="仿宋"/>
          <w:kern w:val="0"/>
          <w:sz w:val="32"/>
          <w:szCs w:val="32"/>
          <w:lang w:val="zh-CN"/>
        </w:rPr>
        <w:t>。省教育科学规划课题在研究周期内（最长不得超过5年，以立项日期为准），经中期检查合格后，根据结题通知的具体要求</w:t>
      </w:r>
      <w:r>
        <w:rPr>
          <w:rFonts w:hint="eastAsia" w:ascii="仿宋_GB2312" w:eastAsia="仿宋_GB2312" w:cs="仿宋"/>
          <w:kern w:val="0"/>
          <w:sz w:val="32"/>
          <w:szCs w:val="32"/>
        </w:rPr>
        <w:t>提交</w:t>
      </w:r>
      <w:r>
        <w:rPr>
          <w:rFonts w:hint="eastAsia" w:ascii="仿宋_GB2312" w:eastAsia="仿宋_GB2312" w:cs="仿宋"/>
          <w:kern w:val="0"/>
          <w:sz w:val="32"/>
          <w:szCs w:val="32"/>
          <w:lang w:val="zh-CN"/>
        </w:rPr>
        <w:t>结题鉴定</w:t>
      </w:r>
      <w:r>
        <w:rPr>
          <w:rFonts w:hint="eastAsia" w:ascii="仿宋_GB2312" w:eastAsia="仿宋_GB2312" w:cs="仿宋"/>
          <w:kern w:val="0"/>
          <w:sz w:val="32"/>
          <w:szCs w:val="32"/>
        </w:rPr>
        <w:t>材料</w:t>
      </w:r>
      <w:r>
        <w:rPr>
          <w:rFonts w:hint="eastAsia" w:ascii="仿宋_GB2312" w:eastAsia="仿宋_GB2312" w:cs="仿宋"/>
          <w:kern w:val="0"/>
          <w:sz w:val="32"/>
          <w:szCs w:val="32"/>
          <w:lang w:val="zh-CN"/>
        </w:rPr>
        <w:t>。</w:t>
      </w:r>
    </w:p>
    <w:p w14:paraId="017DEBE1">
      <w:pPr>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（十二）材料审核</w:t>
      </w:r>
    </w:p>
    <w:p w14:paraId="73A7CA58">
      <w:pPr>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各设区市教科规划办、高等院校科研管理部门须根据课题鉴定的成果要求对申请结题的课题进行成果初审。</w:t>
      </w:r>
      <w:r>
        <w:rPr>
          <w:rFonts w:hint="eastAsia" w:ascii="仿宋_GB2312" w:eastAsia="仿宋_GB2312" w:cs="仿宋"/>
          <w:kern w:val="0"/>
          <w:sz w:val="32"/>
          <w:szCs w:val="32"/>
          <w:lang w:val="zh-CN"/>
        </w:rPr>
        <w:t>申请免于鉴定的课题组，</w:t>
      </w:r>
      <w:r>
        <w:rPr>
          <w:rFonts w:hint="eastAsia" w:ascii="仿宋_GB2312" w:eastAsia="仿宋_GB2312" w:cs="仿宋"/>
          <w:kern w:val="0"/>
          <w:sz w:val="32"/>
          <w:szCs w:val="32"/>
        </w:rPr>
        <w:t>也需</w:t>
      </w:r>
      <w:r>
        <w:rPr>
          <w:rFonts w:hint="eastAsia" w:ascii="仿宋_GB2312" w:eastAsia="仿宋_GB2312" w:cs="仿宋"/>
          <w:kern w:val="0"/>
          <w:sz w:val="32"/>
          <w:szCs w:val="32"/>
          <w:lang w:val="zh-CN"/>
        </w:rPr>
        <w:t>将</w:t>
      </w:r>
      <w:r>
        <w:rPr>
          <w:rFonts w:hint="eastAsia" w:ascii="仿宋_GB2312" w:eastAsia="仿宋_GB2312" w:cs="仿宋"/>
          <w:kern w:val="0"/>
          <w:sz w:val="32"/>
          <w:szCs w:val="32"/>
        </w:rPr>
        <w:t>研究报告及</w:t>
      </w:r>
      <w:r>
        <w:rPr>
          <w:rFonts w:hint="eastAsia" w:ascii="仿宋_GB2312" w:eastAsia="仿宋_GB2312" w:cs="仿宋"/>
          <w:kern w:val="0"/>
          <w:sz w:val="32"/>
          <w:szCs w:val="32"/>
          <w:lang w:val="zh-CN"/>
        </w:rPr>
        <w:t>相关证明材料上传至</w:t>
      </w:r>
      <w:r>
        <w:rPr>
          <w:rFonts w:hint="eastAsia" w:ascii="仿宋_GB2312" w:eastAsia="仿宋_GB2312" w:cs="仿宋"/>
          <w:kern w:val="0"/>
          <w:sz w:val="32"/>
          <w:szCs w:val="32"/>
        </w:rPr>
        <w:t>课题管理平台</w:t>
      </w:r>
      <w:r>
        <w:rPr>
          <w:rFonts w:hint="eastAsia" w:ascii="仿宋_GB2312" w:eastAsia="仿宋_GB2312" w:cs="仿宋"/>
          <w:kern w:val="0"/>
          <w:sz w:val="32"/>
          <w:szCs w:val="32"/>
          <w:lang w:val="zh-CN"/>
        </w:rPr>
        <w:t>。</w:t>
      </w:r>
    </w:p>
    <w:p w14:paraId="27B2C7F0">
      <w:pPr>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lang w:val="zh-CN"/>
        </w:rPr>
        <w:t>（</w:t>
      </w:r>
      <w:r>
        <w:rPr>
          <w:rFonts w:hint="eastAsia" w:ascii="仿宋_GB2312" w:eastAsia="仿宋_GB2312" w:cs="仿宋"/>
          <w:kern w:val="0"/>
          <w:sz w:val="32"/>
          <w:szCs w:val="32"/>
        </w:rPr>
        <w:t>十三</w:t>
      </w:r>
      <w:r>
        <w:rPr>
          <w:rFonts w:hint="eastAsia" w:ascii="仿宋_GB2312" w:eastAsia="仿宋_GB2312" w:cs="仿宋"/>
          <w:kern w:val="0"/>
          <w:sz w:val="32"/>
          <w:szCs w:val="32"/>
          <w:lang w:val="zh-CN"/>
        </w:rPr>
        <w:t>）</w:t>
      </w:r>
      <w:r>
        <w:rPr>
          <w:rFonts w:hint="eastAsia" w:ascii="仿宋_GB2312" w:eastAsia="仿宋_GB2312" w:cs="仿宋"/>
          <w:kern w:val="0"/>
          <w:sz w:val="32"/>
          <w:szCs w:val="32"/>
        </w:rPr>
        <w:t>省级鉴定</w:t>
      </w:r>
    </w:p>
    <w:p w14:paraId="58FD4B3C">
      <w:pPr>
        <w:spacing w:line="560" w:lineRule="exact"/>
        <w:ind w:firstLine="640" w:firstLineChars="200"/>
        <w:rPr>
          <w:rFonts w:ascii="仿宋_GB2312" w:eastAsia="仿宋_GB2312" w:cs="仿宋"/>
          <w:kern w:val="0"/>
          <w:sz w:val="32"/>
          <w:szCs w:val="32"/>
          <w:lang w:val="zh-CN"/>
        </w:rPr>
      </w:pPr>
      <w:r>
        <w:rPr>
          <w:rFonts w:hint="eastAsia" w:ascii="仿宋_GB2312" w:eastAsia="仿宋_GB2312" w:cs="仿宋"/>
          <w:kern w:val="0"/>
          <w:sz w:val="32"/>
          <w:szCs w:val="32"/>
        </w:rPr>
        <w:t>省教科规划办</w:t>
      </w:r>
      <w:r>
        <w:rPr>
          <w:rFonts w:hint="eastAsia" w:ascii="仿宋_GB2312" w:eastAsia="仿宋_GB2312" w:cs="仿宋"/>
          <w:kern w:val="0"/>
          <w:sz w:val="32"/>
          <w:szCs w:val="32"/>
          <w:lang w:val="zh-CN"/>
        </w:rPr>
        <w:t>组织专家对初审通过的课题成果材料进行集中鉴定，形成鉴定等级与相关意见。第一次鉴定未通过并仍在研究周期内的课题组可根据专家鉴定意见进行修改完善，并在半年内重新申请鉴定；第二次鉴定仍未通过的，将终止课题；逾期不申请二次鉴定</w:t>
      </w:r>
      <w:r>
        <w:rPr>
          <w:rFonts w:hint="eastAsia" w:ascii="仿宋_GB2312" w:eastAsia="仿宋_GB2312" w:cs="仿宋"/>
          <w:kern w:val="0"/>
          <w:sz w:val="32"/>
          <w:szCs w:val="32"/>
        </w:rPr>
        <w:t>且未</w:t>
      </w:r>
      <w:r>
        <w:rPr>
          <w:rFonts w:hint="eastAsia" w:ascii="仿宋_GB2312" w:eastAsia="仿宋_GB2312" w:cs="仿宋"/>
          <w:kern w:val="0"/>
          <w:sz w:val="32"/>
          <w:szCs w:val="32"/>
          <w:lang w:val="zh-CN"/>
        </w:rPr>
        <w:t>说明理由的，视同鉴定未通过，将终止课题。</w:t>
      </w:r>
    </w:p>
    <w:p w14:paraId="4913A4BB">
      <w:pPr>
        <w:autoSpaceDE w:val="0"/>
        <w:autoSpaceDN w:val="0"/>
        <w:adjustRightInd w:val="0"/>
        <w:spacing w:line="560" w:lineRule="exact"/>
        <w:ind w:firstLine="645"/>
        <w:rPr>
          <w:rFonts w:ascii="仿宋_GB2312" w:eastAsia="仿宋_GB2312" w:cs="仿宋"/>
          <w:kern w:val="0"/>
          <w:sz w:val="32"/>
          <w:szCs w:val="32"/>
        </w:rPr>
      </w:pPr>
      <w:r>
        <w:rPr>
          <w:rFonts w:hint="eastAsia" w:ascii="仿宋_GB2312" w:eastAsia="仿宋_GB2312" w:cs="仿宋"/>
          <w:kern w:val="0"/>
          <w:sz w:val="32"/>
          <w:szCs w:val="32"/>
        </w:rPr>
        <w:t>（十四）结果公布</w:t>
      </w:r>
    </w:p>
    <w:p w14:paraId="12C78B2A">
      <w:pPr>
        <w:autoSpaceDE w:val="0"/>
        <w:autoSpaceDN w:val="0"/>
        <w:adjustRightInd w:val="0"/>
        <w:spacing w:line="560" w:lineRule="exact"/>
        <w:ind w:firstLine="645"/>
        <w:rPr>
          <w:rFonts w:ascii="仿宋_GB2312" w:eastAsia="仿宋_GB2312" w:cs="仿宋"/>
          <w:kern w:val="0"/>
          <w:sz w:val="32"/>
          <w:szCs w:val="32"/>
        </w:rPr>
      </w:pPr>
      <w:r>
        <w:rPr>
          <w:rFonts w:hint="eastAsia" w:ascii="仿宋_GB2312" w:eastAsia="仿宋_GB2312" w:cs="仿宋"/>
          <w:kern w:val="0"/>
          <w:sz w:val="32"/>
          <w:szCs w:val="32"/>
          <w:lang w:val="zh-CN"/>
        </w:rPr>
        <w:t>鉴定结果</w:t>
      </w:r>
      <w:r>
        <w:rPr>
          <w:rFonts w:hint="eastAsia" w:ascii="仿宋_GB2312" w:eastAsia="仿宋_GB2312" w:cs="仿宋"/>
          <w:kern w:val="0"/>
          <w:sz w:val="32"/>
          <w:szCs w:val="32"/>
        </w:rPr>
        <w:t>报省教育科学规划领导小组批准后</w:t>
      </w:r>
      <w:r>
        <w:rPr>
          <w:rFonts w:hint="eastAsia" w:ascii="仿宋_GB2312" w:eastAsia="仿宋_GB2312" w:cs="仿宋"/>
          <w:kern w:val="0"/>
          <w:sz w:val="32"/>
          <w:szCs w:val="32"/>
          <w:lang w:val="zh-CN"/>
        </w:rPr>
        <w:t>在省教科规划办网站公布。课题结题证书由省教科规划办向各设区市</w:t>
      </w:r>
      <w:r>
        <w:rPr>
          <w:rFonts w:hint="eastAsia" w:ascii="仿宋_GB2312" w:eastAsia="仿宋_GB2312" w:cs="仿宋"/>
          <w:kern w:val="0"/>
          <w:sz w:val="32"/>
          <w:szCs w:val="32"/>
        </w:rPr>
        <w:t>教科</w:t>
      </w:r>
      <w:r>
        <w:rPr>
          <w:rFonts w:hint="eastAsia" w:ascii="仿宋_GB2312" w:eastAsia="仿宋_GB2312" w:cs="仿宋"/>
          <w:kern w:val="0"/>
          <w:sz w:val="32"/>
          <w:szCs w:val="32"/>
          <w:lang w:val="zh-CN"/>
        </w:rPr>
        <w:t>规划办、高等</w:t>
      </w:r>
      <w:r>
        <w:rPr>
          <w:rFonts w:hint="eastAsia" w:ascii="仿宋_GB2312" w:eastAsia="仿宋_GB2312" w:cs="仿宋"/>
          <w:kern w:val="0"/>
          <w:sz w:val="32"/>
          <w:szCs w:val="32"/>
        </w:rPr>
        <w:t>院</w:t>
      </w:r>
      <w:r>
        <w:rPr>
          <w:rFonts w:hint="eastAsia" w:ascii="仿宋_GB2312" w:eastAsia="仿宋_GB2312" w:cs="仿宋"/>
          <w:kern w:val="0"/>
          <w:sz w:val="32"/>
          <w:szCs w:val="32"/>
          <w:lang w:val="zh-CN"/>
        </w:rPr>
        <w:t>校科研管理部门统一寄发。</w:t>
      </w:r>
    </w:p>
    <w:p w14:paraId="0D68A1DB">
      <w:pPr>
        <w:autoSpaceDE w:val="0"/>
        <w:autoSpaceDN w:val="0"/>
        <w:adjustRightInd w:val="0"/>
        <w:spacing w:line="560" w:lineRule="exact"/>
        <w:jc w:val="center"/>
        <w:rPr>
          <w:rFonts w:hint="eastAsia" w:ascii="黑体" w:hAnsi="黑体" w:eastAsia="黑体" w:cs="黑体"/>
          <w:kern w:val="0"/>
          <w:sz w:val="32"/>
          <w:szCs w:val="32"/>
          <w:lang w:val="zh-CN"/>
        </w:rPr>
      </w:pPr>
      <w:r>
        <w:rPr>
          <w:rFonts w:hint="eastAsia" w:ascii="黑体" w:hAnsi="黑体" w:eastAsia="黑体" w:cs="仿宋"/>
          <w:bCs/>
          <w:kern w:val="0"/>
          <w:sz w:val="32"/>
          <w:szCs w:val="32"/>
        </w:rPr>
        <w:t>六、</w:t>
      </w:r>
      <w:r>
        <w:rPr>
          <w:rFonts w:hint="eastAsia" w:ascii="黑体" w:hAnsi="黑体" w:eastAsia="黑体" w:cs="仿宋"/>
          <w:bCs/>
          <w:kern w:val="0"/>
          <w:sz w:val="32"/>
          <w:szCs w:val="32"/>
          <w:lang w:val="zh-CN"/>
        </w:rPr>
        <w:t>奖励与惩罚</w:t>
      </w:r>
    </w:p>
    <w:p w14:paraId="307623C5">
      <w:pPr>
        <w:autoSpaceDE w:val="0"/>
        <w:autoSpaceDN w:val="0"/>
        <w:adjustRightInd w:val="0"/>
        <w:spacing w:line="560" w:lineRule="exact"/>
        <w:ind w:firstLine="640"/>
        <w:rPr>
          <w:rFonts w:ascii="仿宋_GB2312" w:eastAsia="仿宋_GB2312" w:cs="仿宋"/>
          <w:kern w:val="0"/>
          <w:sz w:val="32"/>
          <w:szCs w:val="32"/>
          <w:lang w:val="zh-CN"/>
        </w:rPr>
      </w:pPr>
      <w:r>
        <w:rPr>
          <w:rFonts w:hint="eastAsia" w:ascii="仿宋_GB2312" w:eastAsia="仿宋_GB2312" w:cs="仿宋"/>
          <w:kern w:val="0"/>
          <w:sz w:val="32"/>
          <w:szCs w:val="32"/>
        </w:rPr>
        <w:t>（十五）在省教育科学规划课题结题中获得“优秀”等级较多的设区市与高等院校可在次年年度课题申报时获得增加名额。</w:t>
      </w:r>
    </w:p>
    <w:p w14:paraId="797A95B2">
      <w:pPr>
        <w:autoSpaceDE w:val="0"/>
        <w:autoSpaceDN w:val="0"/>
        <w:adjustRightInd w:val="0"/>
        <w:spacing w:line="560" w:lineRule="exact"/>
        <w:ind w:firstLine="645"/>
        <w:rPr>
          <w:rFonts w:ascii="仿宋_GB2312" w:eastAsia="仿宋_GB2312" w:cs="仿宋"/>
          <w:kern w:val="0"/>
          <w:sz w:val="32"/>
          <w:szCs w:val="32"/>
          <w:lang w:val="zh-CN"/>
        </w:rPr>
      </w:pPr>
      <w:r>
        <w:rPr>
          <w:rFonts w:hint="eastAsia" w:ascii="仿宋_GB2312" w:eastAsia="仿宋_GB2312" w:cs="仿宋"/>
          <w:kern w:val="0"/>
          <w:sz w:val="32"/>
          <w:szCs w:val="32"/>
        </w:rPr>
        <w:t>（十六）因各种原因被撤销课题的主持人3年内不得申报全国教育科学规划项目及省教育科学规划课题。</w:t>
      </w:r>
    </w:p>
    <w:p w14:paraId="22EF9ECA">
      <w:pPr>
        <w:autoSpaceDE w:val="0"/>
        <w:autoSpaceDN w:val="0"/>
        <w:adjustRightInd w:val="0"/>
        <w:spacing w:line="560" w:lineRule="exact"/>
        <w:jc w:val="center"/>
        <w:rPr>
          <w:rFonts w:ascii="仿宋" w:eastAsia="仿宋" w:cs="仿宋"/>
          <w:b/>
          <w:kern w:val="0"/>
          <w:sz w:val="32"/>
          <w:szCs w:val="32"/>
          <w:lang w:val="zh-CN"/>
        </w:rPr>
      </w:pPr>
      <w:r>
        <w:rPr>
          <w:rFonts w:hint="eastAsia" w:ascii="黑体" w:hAnsi="黑体" w:eastAsia="黑体" w:cs="仿宋"/>
          <w:kern w:val="0"/>
          <w:sz w:val="32"/>
          <w:szCs w:val="32"/>
        </w:rPr>
        <w:t>七、</w:t>
      </w:r>
      <w:r>
        <w:rPr>
          <w:rFonts w:hint="eastAsia" w:ascii="黑体" w:hAnsi="黑体" w:eastAsia="黑体" w:cs="仿宋"/>
          <w:kern w:val="0"/>
          <w:sz w:val="32"/>
          <w:szCs w:val="32"/>
          <w:lang w:val="zh-CN"/>
        </w:rPr>
        <w:t>附</w:t>
      </w:r>
      <w:r>
        <w:rPr>
          <w:rFonts w:hint="eastAsia" w:ascii="黑体" w:hAnsi="黑体" w:eastAsia="黑体" w:cs="仿宋"/>
          <w:kern w:val="0"/>
          <w:sz w:val="32"/>
          <w:szCs w:val="32"/>
        </w:rPr>
        <w:t xml:space="preserve">  </w:t>
      </w:r>
      <w:r>
        <w:rPr>
          <w:rFonts w:hint="eastAsia" w:ascii="黑体" w:hAnsi="黑体" w:eastAsia="黑体" w:cs="仿宋"/>
          <w:kern w:val="0"/>
          <w:sz w:val="32"/>
          <w:szCs w:val="32"/>
          <w:lang w:val="zh-CN"/>
        </w:rPr>
        <w:t>则</w:t>
      </w:r>
    </w:p>
    <w:p w14:paraId="76C0E061">
      <w:pPr>
        <w:autoSpaceDE w:val="0"/>
        <w:autoSpaceDN w:val="0"/>
        <w:adjustRightInd w:val="0"/>
        <w:spacing w:line="560" w:lineRule="exact"/>
        <w:ind w:firstLine="645"/>
        <w:rPr>
          <w:rFonts w:ascii="仿宋_GB2312" w:eastAsia="仿宋_GB2312" w:cs="仿宋"/>
          <w:kern w:val="0"/>
          <w:sz w:val="32"/>
          <w:szCs w:val="32"/>
          <w:lang w:val="zh-CN"/>
        </w:rPr>
      </w:pPr>
      <w:r>
        <w:rPr>
          <w:rFonts w:hint="eastAsia" w:ascii="仿宋_GB2312" w:eastAsia="仿宋_GB2312" w:cs="仿宋"/>
          <w:kern w:val="0"/>
          <w:sz w:val="32"/>
          <w:szCs w:val="32"/>
        </w:rPr>
        <w:t>（十七）省教科规划办负责组织省教育科学规划课题研究成果的结题鉴定工作。</w:t>
      </w:r>
      <w:r>
        <w:rPr>
          <w:rFonts w:hint="eastAsia" w:ascii="仿宋_GB2312" w:eastAsia="仿宋_GB2312" w:cs="仿宋"/>
          <w:kern w:val="0"/>
          <w:sz w:val="32"/>
          <w:szCs w:val="32"/>
          <w:lang w:val="zh-CN"/>
        </w:rPr>
        <w:t>本</w:t>
      </w:r>
      <w:r>
        <w:rPr>
          <w:rFonts w:hint="eastAsia" w:ascii="仿宋_GB2312" w:eastAsia="仿宋_GB2312" w:cs="仿宋"/>
          <w:kern w:val="0"/>
          <w:sz w:val="32"/>
          <w:szCs w:val="32"/>
        </w:rPr>
        <w:t>细则</w:t>
      </w:r>
      <w:r>
        <w:rPr>
          <w:rFonts w:hint="eastAsia" w:ascii="仿宋_GB2312" w:eastAsia="仿宋_GB2312" w:cs="仿宋"/>
          <w:kern w:val="0"/>
          <w:sz w:val="32"/>
          <w:szCs w:val="32"/>
          <w:lang w:val="zh-CN"/>
        </w:rPr>
        <w:t>的解释权和修改权属</w:t>
      </w:r>
      <w:r>
        <w:rPr>
          <w:rFonts w:hint="eastAsia" w:ascii="仿宋_GB2312" w:eastAsia="仿宋_GB2312" w:cs="仿宋"/>
          <w:kern w:val="0"/>
          <w:sz w:val="32"/>
          <w:szCs w:val="32"/>
        </w:rPr>
        <w:t>省教科规划办</w:t>
      </w:r>
      <w:r>
        <w:rPr>
          <w:rFonts w:hint="eastAsia" w:ascii="仿宋_GB2312" w:eastAsia="仿宋_GB2312" w:cs="仿宋"/>
          <w:kern w:val="0"/>
          <w:sz w:val="32"/>
          <w:szCs w:val="32"/>
          <w:lang w:val="zh-CN"/>
        </w:rPr>
        <w:t>。</w:t>
      </w:r>
    </w:p>
    <w:p w14:paraId="2BBAFA68">
      <w:pPr>
        <w:ind w:firstLine="640" w:firstLineChars="200"/>
      </w:pPr>
      <w:bookmarkStart w:id="0" w:name="_GoBack"/>
      <w:bookmarkEnd w:id="0"/>
      <w:r>
        <w:rPr>
          <w:rFonts w:hint="eastAsia" w:ascii="仿宋_GB2312" w:eastAsia="仿宋_GB2312" w:cs="仿宋"/>
          <w:kern w:val="0"/>
          <w:sz w:val="32"/>
          <w:szCs w:val="32"/>
        </w:rPr>
        <w:t>（十八）</w:t>
      </w:r>
      <w:r>
        <w:rPr>
          <w:rFonts w:hint="eastAsia" w:ascii="仿宋_GB2312" w:eastAsia="仿宋_GB2312" w:cs="仿宋"/>
          <w:kern w:val="0"/>
          <w:sz w:val="32"/>
          <w:szCs w:val="32"/>
          <w:lang w:val="zh-CN"/>
        </w:rPr>
        <w:t>本</w:t>
      </w:r>
      <w:r>
        <w:rPr>
          <w:rFonts w:hint="eastAsia" w:ascii="仿宋_GB2312" w:eastAsia="仿宋_GB2312" w:cs="仿宋"/>
          <w:kern w:val="0"/>
          <w:sz w:val="32"/>
          <w:szCs w:val="32"/>
        </w:rPr>
        <w:t>细则</w:t>
      </w:r>
      <w:r>
        <w:rPr>
          <w:rFonts w:hint="eastAsia" w:ascii="仿宋_GB2312" w:eastAsia="仿宋_GB2312" w:cs="仿宋"/>
          <w:kern w:val="0"/>
          <w:sz w:val="32"/>
          <w:szCs w:val="32"/>
          <w:lang w:val="zh-CN"/>
        </w:rPr>
        <w:t>自发布之日起施行。本</w:t>
      </w:r>
      <w:r>
        <w:rPr>
          <w:rFonts w:hint="eastAsia" w:ascii="仿宋_GB2312" w:eastAsia="仿宋_GB2312" w:cs="仿宋"/>
          <w:kern w:val="0"/>
          <w:sz w:val="32"/>
          <w:szCs w:val="32"/>
        </w:rPr>
        <w:t>细则</w:t>
      </w:r>
      <w:r>
        <w:rPr>
          <w:rFonts w:hint="eastAsia" w:ascii="仿宋_GB2312" w:eastAsia="仿宋_GB2312" w:cs="仿宋"/>
          <w:kern w:val="0"/>
          <w:sz w:val="32"/>
          <w:szCs w:val="32"/>
          <w:lang w:val="zh-CN"/>
        </w:rPr>
        <w:t>施行前的有关规定，凡与本</w:t>
      </w:r>
      <w:r>
        <w:rPr>
          <w:rFonts w:hint="eastAsia" w:ascii="仿宋_GB2312" w:eastAsia="仿宋_GB2312" w:cs="仿宋"/>
          <w:kern w:val="0"/>
          <w:sz w:val="32"/>
          <w:szCs w:val="32"/>
        </w:rPr>
        <w:t>细则</w:t>
      </w:r>
      <w:r>
        <w:rPr>
          <w:rFonts w:hint="eastAsia" w:ascii="仿宋_GB2312" w:eastAsia="仿宋_GB2312" w:cs="仿宋"/>
          <w:kern w:val="0"/>
          <w:sz w:val="32"/>
          <w:szCs w:val="32"/>
          <w:lang w:val="zh-CN"/>
        </w:rPr>
        <w:t>不符的，均以本</w:t>
      </w:r>
      <w:r>
        <w:rPr>
          <w:rFonts w:hint="eastAsia" w:ascii="仿宋_GB2312" w:eastAsia="仿宋_GB2312" w:cs="仿宋"/>
          <w:kern w:val="0"/>
          <w:sz w:val="32"/>
          <w:szCs w:val="32"/>
        </w:rPr>
        <w:t>细则</w:t>
      </w:r>
      <w:r>
        <w:rPr>
          <w:rFonts w:hint="eastAsia" w:ascii="仿宋_GB2312" w:eastAsia="仿宋_GB2312" w:cs="仿宋"/>
          <w:kern w:val="0"/>
          <w:sz w:val="32"/>
          <w:szCs w:val="32"/>
          <w:lang w:val="zh-CN"/>
        </w:rPr>
        <w:t>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C51DC"/>
    <w:rsid w:val="54AD69A4"/>
    <w:rsid w:val="6E1C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2091</Words>
  <Characters>2099</Characters>
  <Lines>0</Lines>
  <Paragraphs>0</Paragraphs>
  <TotalTime>4</TotalTime>
  <ScaleCrop>false</ScaleCrop>
  <LinksUpToDate>false</LinksUpToDate>
  <CharactersWithSpaces>2101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2025-07-01T09:44:00Z</dcterms:created>
  <dc:creator>振宇</dc:creator>
  <cp:lastModifiedBy>Nff</cp:lastModifiedBy>
  <dcterms:modified xsi:type="dcterms:W3CDTF">2025-12-16T01:27:32Z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6E3F1B3D3301425D877C60B4D9B15F80_11</vt:lpwstr>
  </property>
  <property fmtid="{D5CDD505-2E9C-101B-9397-08002B2CF9AE}" pid="4" name="KSOTemplateDocerSaveRecord">
    <vt:lpwstr>eyJoZGlkIjoiNmViZWVhYTdjMmYwN2EzNDQ4MzgzYWU2ZjEyMmZmYWEiLCJ1c2VySWQiOiIyOTgxNzY0MTYifQ==</vt:lpwstr>
  </property>
</Properties>
</file>