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FAA14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left"/>
        <w:textAlignment w:val="auto"/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附件1：</w:t>
      </w:r>
    </w:p>
    <w:p w14:paraId="00D40A6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center"/>
        <w:textAlignment w:val="auto"/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auto"/>
          <w:spacing w:val="0"/>
          <w:kern w:val="0"/>
          <w:sz w:val="36"/>
          <w:szCs w:val="36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b/>
          <w:bCs/>
          <w:i w:val="0"/>
          <w:iCs w:val="0"/>
          <w:caps w:val="0"/>
          <w:color w:val="auto"/>
          <w:spacing w:val="0"/>
          <w:kern w:val="0"/>
          <w:sz w:val="36"/>
          <w:szCs w:val="36"/>
          <w:shd w:val="clear" w:fill="FFFFFF"/>
          <w:lang w:val="en-US" w:eastAsia="zh-CN" w:bidi="ar"/>
        </w:rPr>
        <w:t>南京中医药大学</w:t>
      </w: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auto"/>
          <w:spacing w:val="0"/>
          <w:kern w:val="0"/>
          <w:sz w:val="36"/>
          <w:szCs w:val="36"/>
          <w:shd w:val="clear" w:fill="FFFFFF"/>
          <w:lang w:val="en-US" w:eastAsia="zh-CN" w:bidi="ar"/>
        </w:rPr>
        <w:t>202</w:t>
      </w:r>
      <w:r>
        <w:rPr>
          <w:rFonts w:hint="eastAsia" w:ascii="Times New Roman" w:hAnsi="Times New Roman" w:eastAsia="方正仿宋_GBK" w:cs="Times New Roman"/>
          <w:b/>
          <w:bCs/>
          <w:i w:val="0"/>
          <w:iCs w:val="0"/>
          <w:caps w:val="0"/>
          <w:color w:val="auto"/>
          <w:spacing w:val="0"/>
          <w:kern w:val="0"/>
          <w:sz w:val="36"/>
          <w:szCs w:val="36"/>
          <w:shd w:val="clear" w:fill="FFFFFF"/>
          <w:lang w:val="en-US" w:eastAsia="zh-CN" w:bidi="ar"/>
        </w:rPr>
        <w:t>5</w:t>
      </w: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auto"/>
          <w:spacing w:val="0"/>
          <w:kern w:val="0"/>
          <w:sz w:val="36"/>
          <w:szCs w:val="36"/>
          <w:shd w:val="clear" w:fill="FFFFFF"/>
          <w:lang w:val="en-US" w:eastAsia="zh-CN" w:bidi="ar"/>
        </w:rPr>
        <w:t>年度</w:t>
      </w:r>
      <w:r>
        <w:rPr>
          <w:rFonts w:hint="eastAsia" w:ascii="Times New Roman" w:hAnsi="Times New Roman" w:eastAsia="方正仿宋_GBK" w:cs="Times New Roman"/>
          <w:b/>
          <w:bCs/>
          <w:i w:val="0"/>
          <w:iCs w:val="0"/>
          <w:caps w:val="0"/>
          <w:color w:val="auto"/>
          <w:spacing w:val="0"/>
          <w:kern w:val="0"/>
          <w:sz w:val="36"/>
          <w:szCs w:val="36"/>
          <w:shd w:val="clear" w:fill="FFFFFF"/>
          <w:lang w:val="en-US" w:eastAsia="zh-CN" w:bidi="ar"/>
        </w:rPr>
        <w:t>江苏</w:t>
      </w: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auto"/>
          <w:spacing w:val="0"/>
          <w:kern w:val="0"/>
          <w:sz w:val="36"/>
          <w:szCs w:val="36"/>
          <w:shd w:val="clear" w:fill="FFFFFF"/>
          <w:lang w:val="en-US" w:eastAsia="zh-CN" w:bidi="ar"/>
        </w:rPr>
        <w:t>省教育科学规划</w:t>
      </w:r>
    </w:p>
    <w:p w14:paraId="3D2A667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center"/>
        <w:textAlignment w:val="auto"/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auto"/>
          <w:spacing w:val="0"/>
          <w:kern w:val="0"/>
          <w:sz w:val="36"/>
          <w:szCs w:val="36"/>
          <w:shd w:val="clear" w:fill="FFFFFF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auto"/>
          <w:spacing w:val="0"/>
          <w:kern w:val="0"/>
          <w:sz w:val="36"/>
          <w:szCs w:val="36"/>
          <w:shd w:val="clear" w:fill="FFFFFF"/>
          <w:lang w:val="en-US" w:eastAsia="zh-CN" w:bidi="ar"/>
        </w:rPr>
        <w:t>课题</w:t>
      </w:r>
      <w:r>
        <w:rPr>
          <w:rFonts w:hint="eastAsia" w:ascii="Times New Roman" w:hAnsi="Times New Roman" w:eastAsia="方正仿宋_GBK" w:cs="Times New Roman"/>
          <w:b/>
          <w:bCs/>
          <w:i w:val="0"/>
          <w:iCs w:val="0"/>
          <w:caps w:val="0"/>
          <w:color w:val="auto"/>
          <w:spacing w:val="0"/>
          <w:kern w:val="0"/>
          <w:sz w:val="36"/>
          <w:szCs w:val="36"/>
          <w:shd w:val="clear" w:fill="FFFFFF"/>
          <w:lang w:val="en-US" w:eastAsia="zh-CN" w:bidi="ar"/>
        </w:rPr>
        <w:t>立项名单</w:t>
      </w:r>
    </w:p>
    <w:p w14:paraId="62D0A21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60" w:beforeAutospacing="0" w:after="0" w:afterAutospacing="0"/>
        <w:ind w:left="48" w:right="0" w:firstLine="0"/>
        <w:jc w:val="left"/>
        <w:textAlignment w:val="baseline"/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注：依次按课题类型、课题编号排序。</w:t>
      </w:r>
    </w:p>
    <w:tbl>
      <w:tblPr>
        <w:tblStyle w:val="3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9"/>
        <w:gridCol w:w="2001"/>
        <w:gridCol w:w="3218"/>
        <w:gridCol w:w="1551"/>
      </w:tblGrid>
      <w:tr w14:paraId="677A4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22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课题类型</w:t>
            </w:r>
          </w:p>
        </w:tc>
        <w:tc>
          <w:tcPr>
            <w:tcW w:w="1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88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课题编号</w:t>
            </w:r>
          </w:p>
        </w:tc>
        <w:tc>
          <w:tcPr>
            <w:tcW w:w="1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8F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课题名称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B7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课题负责人</w:t>
            </w:r>
          </w:p>
        </w:tc>
      </w:tr>
      <w:tr w14:paraId="0C37B2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DA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重点</w:t>
            </w:r>
          </w:p>
        </w:tc>
        <w:tc>
          <w:tcPr>
            <w:tcW w:w="1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3B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B/2025/01/53</w:t>
            </w:r>
          </w:p>
        </w:tc>
        <w:tc>
          <w:tcPr>
            <w:tcW w:w="1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29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社区护理教育智能模拟系统开发、课程整合与效果评价研究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AD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王爱红</w:t>
            </w:r>
          </w:p>
        </w:tc>
      </w:tr>
      <w:tr w14:paraId="5B877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36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重点</w:t>
            </w:r>
          </w:p>
        </w:tc>
        <w:tc>
          <w:tcPr>
            <w:tcW w:w="1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57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B/2025/01/92</w:t>
            </w:r>
          </w:p>
        </w:tc>
        <w:tc>
          <w:tcPr>
            <w:tcW w:w="1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2A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协同书院制：中医药拔尖创新人才通专融合培养的路径探索与评价研究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10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张宏如、林瑜</w:t>
            </w:r>
          </w:p>
        </w:tc>
      </w:tr>
      <w:tr w14:paraId="6E54E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D7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重点</w:t>
            </w:r>
          </w:p>
        </w:tc>
        <w:tc>
          <w:tcPr>
            <w:tcW w:w="1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F0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B/2025/01/179</w:t>
            </w:r>
          </w:p>
        </w:tc>
        <w:tc>
          <w:tcPr>
            <w:tcW w:w="1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BF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医学院校教师数字素养的理论构建与提升路径研究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E2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曾智、朱元媛</w:t>
            </w:r>
          </w:p>
        </w:tc>
      </w:tr>
      <w:tr w14:paraId="1AF542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34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重点</w:t>
            </w:r>
          </w:p>
        </w:tc>
        <w:tc>
          <w:tcPr>
            <w:tcW w:w="1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9E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B/2025/01/192</w:t>
            </w:r>
          </w:p>
        </w:tc>
        <w:tc>
          <w:tcPr>
            <w:tcW w:w="1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66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国医大师周仲瑛中医教育思想与实践研究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38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文庠、吴彩霞</w:t>
            </w:r>
          </w:p>
        </w:tc>
      </w:tr>
      <w:tr w14:paraId="4016A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A4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自设专项－青年专项</w:t>
            </w:r>
          </w:p>
        </w:tc>
        <w:tc>
          <w:tcPr>
            <w:tcW w:w="1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4E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C/2025/01/61</w:t>
            </w:r>
          </w:p>
        </w:tc>
        <w:tc>
          <w:tcPr>
            <w:tcW w:w="1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15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基于能力标准的本科老年护理课程开发与实践研究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E7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董玉静</w:t>
            </w:r>
          </w:p>
        </w:tc>
      </w:tr>
      <w:tr w14:paraId="531BB6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62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自设专项－青年专项</w:t>
            </w:r>
          </w:p>
        </w:tc>
        <w:tc>
          <w:tcPr>
            <w:tcW w:w="1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CD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C/2025/01/126</w:t>
            </w:r>
          </w:p>
        </w:tc>
        <w:tc>
          <w:tcPr>
            <w:tcW w:w="1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0D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AI赋能“师生双主体”高校教育评价研究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49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张薇、唐梦帆</w:t>
            </w:r>
          </w:p>
        </w:tc>
      </w:tr>
      <w:tr w14:paraId="57A61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01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委托专项-教育智库研究专项</w:t>
            </w:r>
          </w:p>
        </w:tc>
        <w:tc>
          <w:tcPr>
            <w:tcW w:w="1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45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JYZK/2025/03</w:t>
            </w:r>
          </w:p>
        </w:tc>
        <w:tc>
          <w:tcPr>
            <w:tcW w:w="1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38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教育支撑科技创新和人才培养的机制与路径研究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49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朱晓玲、蒋继彪</w:t>
            </w:r>
          </w:p>
        </w:tc>
      </w:tr>
    </w:tbl>
    <w:p w14:paraId="7AAFED7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F257F3"/>
    <w:rsid w:val="38F25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2025-12-16T02:09:00Z</dcterms:created>
  <dc:creator>Nff</dc:creator>
  <cp:lastModifiedBy>Nff</cp:lastModifiedBy>
  <dcterms:modified xsi:type="dcterms:W3CDTF">2025-12-16T02:09:42Z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701C96F8B0664526BE1EDDD9DA5430F3_11</vt:lpwstr>
  </property>
  <property fmtid="{D5CDD505-2E9C-101B-9397-08002B2CF9AE}" pid="4" name="KSOTemplateDocerSaveRecord">
    <vt:lpwstr>eyJoZGlkIjoiNmViZWVhYTdjMmYwN2EzNDQ4MzgzYWU2ZjEyMmZmYWEiLCJ1c2VySWQiOiIyOTgxNzY0MTYifQ==</vt:lpwstr>
  </property>
</Properties>
</file>