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40A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方正仿宋_GBK" w:cs="Times New Roman"/>
          <w:b/>
          <w:bCs/>
          <w:i w:val="0"/>
          <w:iCs w:val="0"/>
          <w:caps w:val="0"/>
          <w:color w:val="auto"/>
          <w:spacing w:val="0"/>
          <w:kern w:val="0"/>
          <w:sz w:val="36"/>
          <w:szCs w:val="36"/>
          <w:shd w:val="clear" w:fill="FFFFFF"/>
          <w:lang w:val="en-US" w:eastAsia="zh-CN" w:bidi="ar"/>
        </w:rPr>
      </w:pPr>
      <w:r>
        <w:rPr>
          <w:rFonts w:hint="eastAsia" w:ascii="Times New Roman" w:hAnsi="Times New Roman" w:eastAsia="方正仿宋_GBK" w:cs="Times New Roman"/>
          <w:b/>
          <w:bCs/>
          <w:i w:val="0"/>
          <w:iCs w:val="0"/>
          <w:caps w:val="0"/>
          <w:color w:val="auto"/>
          <w:spacing w:val="0"/>
          <w:kern w:val="0"/>
          <w:sz w:val="36"/>
          <w:szCs w:val="36"/>
          <w:shd w:val="clear" w:fill="FFFFFF"/>
          <w:lang w:val="en-US" w:eastAsia="zh-CN" w:bidi="ar"/>
        </w:rPr>
        <w:t>南京中医药大学</w:t>
      </w:r>
      <w:r>
        <w:rPr>
          <w:rFonts w:hint="default" w:ascii="Times New Roman" w:hAnsi="Times New Roman" w:eastAsia="方正仿宋_GBK" w:cs="Times New Roman"/>
          <w:b/>
          <w:bCs/>
          <w:i w:val="0"/>
          <w:iCs w:val="0"/>
          <w:caps w:val="0"/>
          <w:color w:val="auto"/>
          <w:spacing w:val="0"/>
          <w:kern w:val="0"/>
          <w:sz w:val="36"/>
          <w:szCs w:val="36"/>
          <w:shd w:val="clear" w:fill="FFFFFF"/>
          <w:lang w:val="en-US" w:eastAsia="zh-CN" w:bidi="ar"/>
        </w:rPr>
        <w:t>2024年度</w:t>
      </w:r>
      <w:r>
        <w:rPr>
          <w:rFonts w:hint="eastAsia" w:ascii="Times New Roman" w:hAnsi="Times New Roman" w:eastAsia="方正仿宋_GBK" w:cs="Times New Roman"/>
          <w:b/>
          <w:bCs/>
          <w:i w:val="0"/>
          <w:iCs w:val="0"/>
          <w:caps w:val="0"/>
          <w:color w:val="auto"/>
          <w:spacing w:val="0"/>
          <w:kern w:val="0"/>
          <w:sz w:val="36"/>
          <w:szCs w:val="36"/>
          <w:shd w:val="clear" w:fill="FFFFFF"/>
          <w:lang w:val="en-US" w:eastAsia="zh-CN" w:bidi="ar"/>
        </w:rPr>
        <w:t>江苏</w:t>
      </w:r>
      <w:r>
        <w:rPr>
          <w:rFonts w:hint="default" w:ascii="Times New Roman" w:hAnsi="Times New Roman" w:eastAsia="方正仿宋_GBK" w:cs="Times New Roman"/>
          <w:b/>
          <w:bCs/>
          <w:i w:val="0"/>
          <w:iCs w:val="0"/>
          <w:caps w:val="0"/>
          <w:color w:val="auto"/>
          <w:spacing w:val="0"/>
          <w:kern w:val="0"/>
          <w:sz w:val="36"/>
          <w:szCs w:val="36"/>
          <w:shd w:val="clear" w:fill="FFFFFF"/>
          <w:lang w:val="en-US" w:eastAsia="zh-CN" w:bidi="ar"/>
        </w:rPr>
        <w:t>省教育科学规划</w:t>
      </w:r>
    </w:p>
    <w:p w14:paraId="3D2A66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方正仿宋_GBK" w:cs="Times New Roman"/>
          <w:b/>
          <w:bCs/>
          <w:i w:val="0"/>
          <w:iCs w:val="0"/>
          <w:caps w:val="0"/>
          <w:color w:val="auto"/>
          <w:spacing w:val="0"/>
          <w:kern w:val="0"/>
          <w:sz w:val="36"/>
          <w:szCs w:val="36"/>
          <w:shd w:val="clear" w:fill="FFFFFF"/>
          <w:lang w:val="en-US" w:eastAsia="zh-CN" w:bidi="ar"/>
        </w:rPr>
      </w:pPr>
      <w:r>
        <w:rPr>
          <w:rFonts w:hint="default" w:ascii="Times New Roman" w:hAnsi="Times New Roman" w:eastAsia="方正仿宋_GBK" w:cs="Times New Roman"/>
          <w:b/>
          <w:bCs/>
          <w:i w:val="0"/>
          <w:iCs w:val="0"/>
          <w:caps w:val="0"/>
          <w:color w:val="auto"/>
          <w:spacing w:val="0"/>
          <w:kern w:val="0"/>
          <w:sz w:val="36"/>
          <w:szCs w:val="36"/>
          <w:shd w:val="clear" w:fill="FFFFFF"/>
          <w:lang w:val="en-US" w:eastAsia="zh-CN" w:bidi="ar"/>
        </w:rPr>
        <w:t>课题</w:t>
      </w:r>
      <w:r>
        <w:rPr>
          <w:rFonts w:hint="eastAsia" w:ascii="Times New Roman" w:hAnsi="Times New Roman" w:eastAsia="方正仿宋_GBK" w:cs="Times New Roman"/>
          <w:b/>
          <w:bCs/>
          <w:i w:val="0"/>
          <w:iCs w:val="0"/>
          <w:caps w:val="0"/>
          <w:color w:val="auto"/>
          <w:spacing w:val="0"/>
          <w:kern w:val="0"/>
          <w:sz w:val="36"/>
          <w:szCs w:val="36"/>
          <w:shd w:val="clear" w:fill="FFFFFF"/>
          <w:lang w:val="en-US" w:eastAsia="zh-CN" w:bidi="ar"/>
        </w:rPr>
        <w:t>立项名单</w:t>
      </w:r>
    </w:p>
    <w:p w14:paraId="62D0A2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0" w:afterAutospacing="0"/>
        <w:ind w:left="48" w:right="0" w:firstLine="0"/>
        <w:jc w:val="left"/>
        <w:textAlignment w:val="baseline"/>
        <w:rPr>
          <w:rFonts w:hint="eastAsia" w:ascii="Times New Roman" w:hAnsi="Times New Roman" w:eastAsia="方正仿宋_GBK" w:cs="Times New Roman"/>
          <w:i w:val="0"/>
          <w:iCs w:val="0"/>
          <w:caps w:val="0"/>
          <w:color w:val="auto"/>
          <w:spacing w:val="0"/>
          <w:kern w:val="0"/>
          <w:sz w:val="28"/>
          <w:szCs w:val="28"/>
          <w:shd w:val="clear" w:fill="FFFFFF"/>
          <w:lang w:val="en-US" w:eastAsia="zh-CN" w:bidi="ar"/>
        </w:rPr>
      </w:pPr>
      <w:r>
        <w:rPr>
          <w:rFonts w:hint="eastAsia" w:ascii="Times New Roman" w:hAnsi="Times New Roman" w:eastAsia="方正仿宋_GBK" w:cs="Times New Roman"/>
          <w:i w:val="0"/>
          <w:iCs w:val="0"/>
          <w:caps w:val="0"/>
          <w:color w:val="auto"/>
          <w:spacing w:val="0"/>
          <w:kern w:val="0"/>
          <w:sz w:val="28"/>
          <w:szCs w:val="28"/>
          <w:shd w:val="clear" w:fill="FFFFFF"/>
          <w:lang w:val="en-US" w:eastAsia="zh-CN" w:bidi="ar"/>
        </w:rPr>
        <w:t>注：依此按课题类型、课题编号排序。</w:t>
      </w:r>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5"/>
        <w:gridCol w:w="3375"/>
        <w:gridCol w:w="1466"/>
        <w:gridCol w:w="1714"/>
      </w:tblGrid>
      <w:tr w14:paraId="677A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83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课题编号</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FC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课题名称</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1B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课题类型</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7A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课题负责人</w:t>
            </w:r>
          </w:p>
        </w:tc>
      </w:tr>
      <w:tr w14:paraId="0C37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B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B-b/2024/01/74</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9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生态系统视域下中医书院教育的现代化路径研究</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A0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D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王红云、史伟</w:t>
            </w:r>
          </w:p>
        </w:tc>
      </w:tr>
      <w:tr w14:paraId="5B87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7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B-b/2024/01/96</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A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“多链融合”培养中医学拔尖创新人才的研究</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E1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0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方祝元、何晓瑾</w:t>
            </w:r>
          </w:p>
        </w:tc>
      </w:tr>
      <w:tr w14:paraId="6E54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0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B-b/2024/01/107</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F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积极应对人口老龄化国家战略背景下高素质复合型养老服务管理本科人才培养模式构建与实践研究</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FC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2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乔学斌、陈娜</w:t>
            </w:r>
          </w:p>
        </w:tc>
      </w:tr>
      <w:tr w14:paraId="1AF5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E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C/2024/01/08</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6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传统中医药文化浸润式融入临床医学专业教学的路径研究</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BF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高校青年专项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8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王佳颖</w:t>
            </w:r>
          </w:p>
        </w:tc>
      </w:tr>
      <w:tr w14:paraId="4016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E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C/2024/01/17</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5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新时代中医研究生分类评价体系的构建与实践研究</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6E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高校青年专项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7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沈忱、张峰</w:t>
            </w:r>
          </w:p>
        </w:tc>
      </w:tr>
      <w:tr w14:paraId="531B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D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C/2024/01/80</w:t>
            </w:r>
          </w:p>
        </w:tc>
        <w:tc>
          <w:tcPr>
            <w:tcW w:w="1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D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中外中医药教育课程设置比较研究</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0A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高校青年专项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9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王宇彤</w:t>
            </w:r>
          </w:p>
        </w:tc>
      </w:tr>
    </w:tbl>
    <w:p w14:paraId="6054381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ZWVhYTdjMmYwN2EzNDQ4MzgzYWU2ZjEyMmZmYWEifQ=="/>
  </w:docVars>
  <w:rsids>
    <w:rsidRoot w:val="08481102"/>
    <w:rsid w:val="0848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2024-11-13T03:10:00Z</dcterms:created>
  <dc:creator>Nff</dc:creator>
  <cp:lastModifiedBy>Nff</cp:lastModifiedBy>
  <dcterms:modified xsi:type="dcterms:W3CDTF">2024-11-13T03:10:38Z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1A040D574E754245B91137419FC1B456_11</vt:lpwstr>
  </property>
</Properties>
</file>